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69 vom 6. Dezember 2023</w:t>
      </w:r>
    </w:p>
    <w:p>
      <w:r>
        <w:t>GR Gerichte, 2023-12-06, DE</w:t>
      </w:r>
    </w:p>
    <w:p>
      <w:r>
        <w:rPr>
          <w:b/>
        </w:rPr>
        <w:t xml:space="preserve">Quelle: </w:t>
      </w:r>
      <w:r>
        <w:t>https://mcp.opencaselaw.ch/entscheid/gr_gerichte_SK2 2023 69</w:t>
      </w:r>
    </w:p>
    <w:p>
      <w:r>
        <w:t>FR: GR_GERICHTE SK2 2023 69 du 6 décembre 2023</w:t>
      </w:r>
    </w:p>
    <w:p>
      <w:r>
        <w:t>IT: GR_GERICHTE SK2 2023 69 del 6 dicembre 2023</w:t>
      </w:r>
    </w:p>
    <w:p>
      <w:pPr>
        <w:pStyle w:val="Heading2"/>
      </w:pPr>
      <w:r>
        <w:t>Regeste</w:t>
      </w:r>
    </w:p>
    <w:p>
      <w:r>
        <w:t>Verletzung von Verkehrsregeln | Beschwerde gegen Regionalgericht (früher Bezirksgericht)</w:t>
      </w:r>
    </w:p>
    <w:p>
      <w:pPr>
        <w:pStyle w:val="Heading2"/>
      </w:pPr>
      <w:r>
        <w:t>Erwägungen</w:t>
      </w:r>
    </w:p>
    <w:p>
      <w:r>
        <w:rPr>
          <w:b/>
        </w:rPr>
        <w:t>E. 5</w:t>
      </w:r>
    </w:p>
    <w:p>
      <w:r>
        <w:t>/ 7 scheids beim Beschwerdeführer datiert vom 11. Oktober 2023 (RG act. I.6). Die Beschwerde ist daher fristgerecht beim Kantonsgericht eingegangen. 2. Mit Schreiben vom 28. September 2023 zog der Beschwerdeführer seine Einsprache vor der Vorinstanz zurück (RG act. II.5). In seiner Eingabe an das Rechtsmittelgericht macht er nicht geltend, der Rückzug der Einsprache sei aus den in Art. 386 Abs. 3 StPO genannten Gründen als unwirksam zu betrachten. Solche Gründe wären denn auch nicht ersichtlich. Vielmehr bringt er zum Aus- druck, dass er als 90-Jähriger überhaupt nichts mehr verstehe (act. A.1, S.1). Dem ist jedoch entgegenzuhalten, dass der Beschwerdeführer immerhin in der Lage war, vor der Vorinstanz (zumindest sinngemäss) ein Gesuch um amtliche Vertei- digung und um Dispensation von der Hauptverhandlung zu stellen (RG act. II.3, S. 2; RG act. I.2). Die Tragweite seiner Handlungen scheint ihm daher durchaus be- wusst zu sein, sodass keine Anzeichen dafür bestehen, dass ein Rückzug der Einsprache nicht willensbasiert gewesen sein könnte. 3.1. Dem Beschwerdeführer scheint es in erster Linie denn auch nicht um den Rückzug der Einsprache zu gehen, sondern um die Tragung der Verfahrenskos- ten. Er führt diesbezüglich aus, er sei "total mittellos". Dies habe er bereits vor der Vorinstanz gesagt. Die Vorsitzende der vorinstanzlichen Strafkammer habe er zu- dem gebeten, ihm den Weg zu einer Behörde zu nennen, an die er ein "Gnaden- gesuch" richten könne. In seiner Beschwerde bittet der Beschwerdeführer aber- mals um ein "Gnadengesuch" (act. A.1). 3.2. Wie der Beschwerdeführer korrekt ausführt, hat er bereits vor der Vor- instanz um einen "Gnadenerlass" gebeten (RG act. I.2). Mit Schreiben vom 14. September 2023 hat die Vorsitzende dem Beschwerdeführer mitgeteilt, dass Un- terlagen zu seinen (prekären) finanziellen Verhältnissen fehlen würden und er sie nachreichen müsse (RG act. I.3). Weiter erläuterte sie ihm, dass die Vorausset- zungen für die Herabsetzung bzw. den Erlass von Gebühren im Sinne von Art. 425 StPO sehr hoch seien. Er habe jedoch die Möglichkeit, nach Rechtskraft der Verfügung ein Gesuch um Stundung bzw. Ratenzahlung bei der Finanzverwaltung Graubünden zu stellen (RG act. I.3). Mit prozessleitender Verfügung vom 21. Sep- tember 2023 hat die Vorsitzende am Regionalgericht Viamala ausserdem das Ge- such des Beschwerdeführers um Bestellung einer amtlichen Verteidigung – man- gels tatsächlicher oder rechtlicher Schwierigkeiten – abgewiesen (vgl. RG act. I.4). 3.3. Entgegen den Ausführungen des Beschwerdeführers hat ihn die Vorsitzen- de am Regionalgericht Viamala sehr wohl über die rechtlichen Möglichkeiten auf- geklärt, inwieweit seiner geschilderten finanziellen Situation Rechnung getragen</w:t>
      </w:r>
    </w:p>
    <w:p>
      <w:r>
        <w:rPr>
          <w:b/>
        </w:rPr>
        <w:t>E. 6</w:t>
      </w:r>
    </w:p>
    <w:p>
      <w:r>
        <w:t>/ 7 werden könnte. Von einer Anwendung von Art. 425 StPO bereits bei der Bemes- sung der Verfahrenskosten wurde in der angefochtenen Nichteintretensverfügung abgesehen. Die wohl herrschende Lehre hält zwar dafür, dass Art. 425 StPO nicht zwingend eine rechtskräftige Kostenauflage voraussetze, sondern auch Grundlage für die Festsetzung der Verfahrenskosten bzw. den Verzicht auf deren Erhebung im Zeitpunkt der Urteilsfällung bilden könne (vgl. Yvona Griesser, in: Do- natsch/Lieber/Summers/Wohlers [Hrsg.], Kommentar zur Schweizerischen Straf- prozessordnung [StPO], 3. Aufl., Zürich 2020, N 2 zu Art. 425 StPO m.w.H.). Al- lerdings ist ebenso unbestritten, dass Art. 425 StPO eine Kann-Bestimmung dar- stellt und der zuständigen Strafbehörde ein grosser Ermessensspielraum zu- kommt (BGer 6B_878/2017 v. 21.9.2017 E. 3 m.H.a. BGer 6B_500/2015 v. 9.12.2016 E. 3). Die Vorinstanz hat diesen Ermessensspielraum nicht verletzt, zumal der Beschwerdeführer – trotz mehrmaligem Hinweis (vgl. RG act. I.3 und I.4) – keine Unterlagen eingereicht hat, die seine Mittellosigkeit beweisen würden. Im Weiteren blieb die Verfügung vom 21. September 2023, mit welcher die amtli- che Verteidigung abgelehnt wurde, unangefochten und ist im Übrigen nicht zu be- anstanden, zumal der Beschwerdeführer einerseits die von ihm geschilderte Mit- tellosigkeit nicht belegt hat und andererseits keine tatsächlichen oder rechtlichen Schwierigkeiten auszumachen sind, die den Beizug eines Verteidigers erfordern würden. Abgesehen davon ist die unentgeltliche Rechtspflege für den Beschuldig- ten grundsätzlich von vornherein auf die unentgeltliche Rechtsverbeiständung in der Form einer amtlichen Verteidigung beschränkt. Es ist daher nicht zu bean- standen, dass die Vorinstanz dem Beschwerdeführer die Verfahrenskosten aufer- legt hat. Nur am Rande zu bemerken ist, dass es der Beschwerdeführer auch im Beschwerdeverfahren unterlassen hat, die von ihm geschilderte Mittellosigkeit mit entsprechenden Unterlagen zu belegen. Die Beschwerde ist folglich abzuweisen. 3.4. Wie bereits die Vorsitzende am Regionalgericht Viamala zutreffend ausge- führt hat, besteht für den Beschwerdeführer die Möglichkeit, nach Eintritt der Rechtskraft bei der Finanzverwaltung des Kantons Graubünden ein Gesuch um Stundung bzw. Ratenzahlung zu stellen (RG act. I.4; vgl. Art. 425 StPO). 4. Die vorliegende Entscheidung ergeht in einzelrichterlicher Kompetenz (Art. 395 lit. b StPO). 5. Bei diesem Ausgang des Verfahrens würde der Beschwerdeführer an sich kostenpflichtig werden (Art. 428 Abs. 1 StPO). Auf die Erhebung von Verfahrens- kosten kann ausnahmsweise verzichtet werden (Art. 10 VGS [BR 350.210]). Ent- schädigungen sind keine zu sprechen.</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